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 w:cs="Arial"/>
          <w:b/>
          <w:b/>
          <w:sz w:val="36"/>
          <w:szCs w:val="36"/>
        </w:rPr>
      </w:pPr>
      <w:r>
        <w:rPr>
          <w:rFonts w:cs="Arial" w:ascii="Cambria" w:hAnsi="Cambria"/>
          <w:b/>
          <w:sz w:val="36"/>
          <w:szCs w:val="36"/>
        </w:rPr>
        <w:t>TERMO DE REFERÊNCIA</w:t>
      </w:r>
    </w:p>
    <w:p>
      <w:pPr>
        <w:pStyle w:val="Normal"/>
        <w:jc w:val="center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 xml:space="preserve">DOCUMENTO PERSONALIZADO DE PESQUISA DE PREÇOS </w:t>
      </w:r>
    </w:p>
    <w:p>
      <w:pPr>
        <w:pStyle w:val="Normal"/>
        <w:jc w:val="center"/>
        <w:rPr/>
      </w:pPr>
      <w:r>
        <w:rPr>
          <w:rFonts w:cs="Arial" w:ascii="Cambria" w:hAnsi="Cambria"/>
          <w:b/>
          <w:sz w:val="20"/>
          <w:szCs w:val="20"/>
        </w:rPr>
        <w:t xml:space="preserve">Processo nº </w:t>
      </w:r>
      <w:r>
        <w:rPr>
          <w:rFonts w:eastAsia="Times New Roman" w:cs="Arial" w:ascii="Cambria" w:hAnsi="Cambria"/>
          <w:b/>
          <w:sz w:val="20"/>
          <w:szCs w:val="20"/>
        </w:rPr>
        <w:t>152</w:t>
      </w:r>
      <w:r>
        <w:rPr>
          <w:rFonts w:cs="Arial" w:ascii="Cambria" w:hAnsi="Cambria"/>
          <w:b/>
          <w:sz w:val="20"/>
          <w:szCs w:val="20"/>
        </w:rPr>
        <w:t>/2021 – Compras e Cotações nº 039/2021</w:t>
      </w:r>
    </w:p>
    <w:p>
      <w:pPr>
        <w:pStyle w:val="Normal"/>
        <w:jc w:val="center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Prezado Sr. </w:t>
      </w:r>
      <w:r>
        <w:rPr>
          <w:rFonts w:cs="Arial" w:ascii="Cambria" w:hAnsi="Cambria"/>
          <w:sz w:val="22"/>
          <w:szCs w:val="22"/>
          <w:shd w:fill="auto" w:val="clear"/>
        </w:rPr>
        <w:t>Fornecedor</w:t>
      </w:r>
      <w:r>
        <w:rPr>
          <w:rFonts w:cs="Arial" w:ascii="Cambria" w:hAnsi="Cambria"/>
          <w:sz w:val="22"/>
          <w:szCs w:val="22"/>
        </w:rPr>
        <w:t>,</w:t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Solicitamos que V. Sª nos forneça proposta orçamentária para a compra/contratação do serviço abaixo discriminado, para fins de instrução de futuro processo licitatório. </w:t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Prazo de recebimento das propostas: </w:t>
      </w:r>
      <w:r>
        <w:rPr>
          <w:rFonts w:cs="Arial" w:ascii="Cambria" w:hAnsi="Cambria"/>
          <w:b/>
        </w:rPr>
        <w:t>1</w:t>
      </w:r>
      <w:r>
        <w:rPr>
          <w:rFonts w:cs="Arial" w:ascii="Cambria" w:hAnsi="Cambria"/>
          <w:b/>
        </w:rPr>
        <w:t>6</w:t>
      </w:r>
      <w:r>
        <w:rPr>
          <w:rFonts w:cs="Arial" w:ascii="Cambria" w:hAnsi="Cambria"/>
          <w:b/>
        </w:rPr>
        <w:t>/07/2021</w:t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Razão Social:</w:t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CNPJ nº:</w:t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Endereço:</w:t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CEP:</w:t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Responsável pelo Contato:</w:t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>Telefone:</w:t>
        <w:tab/>
        <w:tab/>
        <w:tab/>
        <w:tab/>
        <w:tab/>
        <w:t>Email:</w:t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3"/>
        <w:gridCol w:w="3477"/>
        <w:gridCol w:w="1154"/>
        <w:gridCol w:w="1515"/>
        <w:gridCol w:w="1471"/>
        <w:gridCol w:w="1416"/>
      </w:tblGrid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LOTE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DESCRIÇÃO DO PRODUTO/SERVIÇO (OBJETO)*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UNIDADE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QUANTIDADE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VALOR UNITÁRIO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X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sz w:val="18"/>
                <w:szCs w:val="18"/>
                <w:highlight w:val="yellow"/>
              </w:rPr>
            </w:pPr>
            <w:r>
              <w:rPr>
                <w:rFonts w:cs="Arial" w:ascii="Cambria" w:hAnsi="Cambria"/>
                <w:b/>
                <w:sz w:val="18"/>
                <w:szCs w:val="18"/>
                <w:highlight w:val="yellow"/>
              </w:rPr>
            </w:r>
          </w:p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rFonts w:cs="Arial" w:ascii="Cambria" w:hAnsi="Cambria"/>
                <w:b/>
                <w:sz w:val="22"/>
                <w:szCs w:val="22"/>
              </w:rPr>
              <w:t xml:space="preserve">LAUDO TÉCNICO, DIAGNÓSTICO, REDIMENSIONAMENTO (PROJETOS BÁSICO, EXECUTIVO E COMPLEMENTARES) DE REDE </w:t>
            </w:r>
            <w:bookmarkStart w:id="0" w:name="_GoBack"/>
            <w:bookmarkEnd w:id="0"/>
            <w:r>
              <w:rPr>
                <w:rFonts w:cs="Arial" w:ascii="Cambria" w:hAnsi="Cambria"/>
                <w:b/>
                <w:sz w:val="22"/>
                <w:szCs w:val="22"/>
              </w:rPr>
              <w:t>ELÉTRICA, DADOS E TELEFONIA DO PRÉDIO DA CÂMARA MUNICIPAL DE AMÉRICO BRASILIENSE, ESTADO DE SÃO PAULO, SITUADO À RUA MANOEL BORBA, Nº 298.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sz w:val="18"/>
                <w:szCs w:val="18"/>
                <w:highlight w:val="yellow"/>
              </w:rPr>
            </w:pPr>
            <w:r>
              <w:rPr>
                <w:rFonts w:cs="Arial" w:ascii="Cambria" w:hAnsi="Cambria"/>
                <w:sz w:val="18"/>
                <w:szCs w:val="18"/>
                <w:highlight w:val="yellow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Unid.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cs="Arial" w:ascii="Cambria" w:hAnsi="Cambria"/>
                <w:sz w:val="22"/>
                <w:szCs w:val="22"/>
              </w:rPr>
            </w: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sz w:val="20"/>
                <w:szCs w:val="20"/>
                <w:u w:val="single"/>
              </w:rPr>
            </w:pPr>
            <w:r>
              <w:rPr>
                <w:rFonts w:cs="Arial" w:ascii="Cambria" w:hAnsi="Cambria"/>
                <w:b/>
                <w:sz w:val="20"/>
                <w:szCs w:val="20"/>
                <w:u w:val="single"/>
              </w:rPr>
              <w:t>OBS: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sz w:val="20"/>
                <w:szCs w:val="20"/>
                <w:u w:val="single"/>
              </w:rPr>
            </w:pPr>
            <w:r>
              <w:rPr>
                <w:rFonts w:cs="Arial" w:ascii="Cambria" w:hAnsi="Cambria"/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 xml:space="preserve">(i) </w:t>
            </w:r>
            <w:r>
              <w:rPr>
                <w:rFonts w:cs="Arial" w:ascii="Cambria" w:hAnsi="Cambria"/>
                <w:b/>
                <w:sz w:val="20"/>
                <w:szCs w:val="20"/>
                <w:u w:val="single"/>
              </w:rPr>
              <w:t>Laudo Técnico</w:t>
            </w:r>
            <w:r>
              <w:rPr>
                <w:rFonts w:cs="Arial" w:ascii="Cambria" w:hAnsi="Cambria"/>
                <w:bCs/>
                <w:sz w:val="20"/>
                <w:szCs w:val="20"/>
              </w:rPr>
              <w:t xml:space="preserve">: Estudo efetuado para levantar a situação atual das redes elétrica, de dados e de telefonia do prédio da Câmara Municipal </w:t>
            </w:r>
            <w:r>
              <w:rPr>
                <w:rFonts w:cs="Arial" w:ascii="Cambria" w:hAnsi="Cambria"/>
                <w:bCs/>
                <w:sz w:val="20"/>
                <w:szCs w:val="20"/>
                <w:shd w:fill="auto" w:val="clear"/>
              </w:rPr>
              <w:t>de Américo Brasiliense/SP</w:t>
            </w:r>
            <w:r>
              <w:rPr>
                <w:rFonts w:cs="Arial" w:ascii="Cambria" w:hAnsi="Cambria"/>
                <w:bCs/>
                <w:sz w:val="20"/>
                <w:szCs w:val="20"/>
              </w:rPr>
              <w:t>, o programa de necessidades, os riscos iminentes, viabilidade técnica e propostas de enfrentamento, elegendo os impactos previstos no período de execução das obras e a previsão de sucesso com o reaproveitamento do todo ou em parte das instalações existentes;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 xml:space="preserve">(ii) </w:t>
            </w:r>
            <w:r>
              <w:rPr>
                <w:rFonts w:cs="Arial" w:ascii="Cambria" w:hAnsi="Cambria"/>
                <w:b/>
                <w:sz w:val="20"/>
                <w:szCs w:val="20"/>
                <w:u w:val="single"/>
              </w:rPr>
              <w:t>Diagnóstico</w:t>
            </w:r>
            <w:r>
              <w:rPr>
                <w:rFonts w:cs="Arial" w:ascii="Cambria" w:hAnsi="Cambria"/>
                <w:bCs/>
                <w:sz w:val="20"/>
                <w:szCs w:val="20"/>
              </w:rPr>
              <w:t>: Conjunto de informações técnicas necessárias e suficientes para caracterizar os serviços, elaborado com base no Laudo Técnico e que apresente o detalhamento necessário para a perfeita definição e quantificação dos materiais, equipamentos e serviços relativos ao empreendimento;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 xml:space="preserve">(iii) </w:t>
            </w:r>
            <w:r>
              <w:rPr>
                <w:rFonts w:cs="Arial" w:ascii="Cambria" w:hAnsi="Cambria"/>
                <w:b/>
                <w:sz w:val="20"/>
                <w:szCs w:val="20"/>
                <w:u w:val="single"/>
              </w:rPr>
              <w:t>Projeto (Redimensionamento)</w:t>
            </w:r>
            <w:r>
              <w:rPr>
                <w:rFonts w:cs="Arial" w:ascii="Cambria" w:hAnsi="Cambria"/>
                <w:bCs/>
                <w:sz w:val="20"/>
                <w:szCs w:val="20"/>
              </w:rPr>
              <w:t>: Conjunto de informações técnicas necessárias e suficientes para a realização do empreendimento, contendo de forma clara, precisa e completa todas as indicações e detalhes construtivos para a licitação e contratação para a perfeita instalação, montagem e execução da futura obra;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>(iv) O Projeto deverá ser subdividido em: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 xml:space="preserve">(a) </w:t>
            </w:r>
            <w:r>
              <w:rPr>
                <w:rFonts w:cs="Arial" w:ascii="Cambria" w:hAnsi="Cambria"/>
                <w:b/>
                <w:sz w:val="20"/>
                <w:szCs w:val="20"/>
                <w:u w:val="single"/>
              </w:rPr>
              <w:t>Estudo Preliminar</w:t>
            </w:r>
            <w:r>
              <w:rPr>
                <w:rFonts w:cs="Arial" w:ascii="Cambria" w:hAnsi="Cambria"/>
                <w:bCs/>
                <w:sz w:val="20"/>
                <w:szCs w:val="20"/>
              </w:rPr>
              <w:t>: Estudo efetuado para assegurar a viabilidade técnica bem como as condicionantes produzidas pelo laudo técnico e consequente diagnóstico;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 xml:space="preserve">(b) </w:t>
            </w:r>
            <w:r>
              <w:rPr>
                <w:rFonts w:cs="Arial" w:ascii="Cambria" w:hAnsi="Cambria"/>
                <w:b/>
                <w:sz w:val="20"/>
                <w:szCs w:val="20"/>
                <w:u w:val="single"/>
              </w:rPr>
              <w:t>Projeto Básico Preliminar</w:t>
            </w:r>
            <w:r>
              <w:rPr>
                <w:rFonts w:cs="Arial" w:ascii="Cambria" w:hAnsi="Cambria"/>
                <w:bCs/>
                <w:sz w:val="20"/>
                <w:szCs w:val="20"/>
              </w:rPr>
              <w:t>: Dimensiona, agrupa e equilibra as cargas conforme programa de necessidades levantado e atualizado com o diagnóstico, confirmando ou traçando possíveis trilhas dos alimentadores e redimensionando-os ou mantendo-os aqueles existentes ou a serem substituídos que se fizerem necessários, indicando os diâmetros, comprimentos, características, e proteção adequadas, reavaliando e redimensionando as chaves geral e os alimentadores, o aproveitamento e/ou substituição, com especificação completa dos materiais, avaliando os itens de serviços com unidades de medida mensuráveis, e não unidades de provisão (global, verba, porcentagem, etc.). Deverá, ainda, contemplar, além dos documentos gráficos do Projeto que representem todos os elementos necessários à compreensão da proposta de intervenção aprovada na fase de Estudo Preliminar, um relatório técnico, contendo o Memorial Descritivo com as especificações dos serviços, a Planilha Orçamentária e o Cronograma Físico-Financeiro de execução dos serviços, fundamentados em especificações técnicas e quantidades de materiais, equipamentos e serviços, bem como em métodos construtivos e prazos de execução corretamente definidos e indicados;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 xml:space="preserve">(c) </w:t>
            </w:r>
            <w:r>
              <w:rPr>
                <w:rFonts w:cs="Arial" w:ascii="Cambria" w:hAnsi="Cambria"/>
                <w:b/>
                <w:sz w:val="20"/>
                <w:szCs w:val="20"/>
                <w:u w:val="single"/>
              </w:rPr>
              <w:t>Projeto Executivo Aprovado</w:t>
            </w:r>
            <w:r>
              <w:rPr>
                <w:rFonts w:cs="Arial" w:ascii="Cambria" w:hAnsi="Cambria"/>
                <w:bCs/>
                <w:sz w:val="20"/>
                <w:szCs w:val="20"/>
              </w:rPr>
              <w:t>: O Projeto Executivo Aprovado deverá apresentar todos os elementos necessários à realização do empreendimento, detalhando todas as interfaces dos sistemas e seus componentes, bem como documentos gráficos dos Projetos Complementares, que representem todos os detalhes construtivos elaborados com base no Projeto Básico Preliminar aprovado e conterá ainda a Planilha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cs="Arial" w:ascii="Cambria" w:hAnsi="Cambria"/>
                <w:bCs/>
                <w:sz w:val="20"/>
                <w:szCs w:val="20"/>
              </w:rPr>
              <w:t>Orçamentária e o Cronograma Físico-Financeiro da execução da futura obra.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 xml:space="preserve">(v) </w:t>
            </w:r>
            <w:r>
              <w:rPr>
                <w:rFonts w:cs="Arial" w:ascii="Cambria" w:hAnsi="Cambria"/>
                <w:b/>
                <w:sz w:val="20"/>
                <w:szCs w:val="20"/>
                <w:u w:val="single"/>
              </w:rPr>
              <w:t>Produtos</w:t>
            </w:r>
            <w:r>
              <w:rPr>
                <w:rFonts w:cs="Arial" w:ascii="Cambria" w:hAnsi="Cambria"/>
                <w:bCs/>
                <w:sz w:val="20"/>
                <w:szCs w:val="20"/>
              </w:rPr>
              <w:t xml:space="preserve"> a serem apresentados: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>(a) Laudo Técnico;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>(b) Diagnóstico;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>(c) Projeto (Estudo Preliminar + Projeto Básico + Projeto Executivo Aprovado)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>(vi) Todos os Laudos, Estudos e Projetos deverão ser desenvolvidos de forma harmônica e consistente, observando a compatibilização entre os elementos dos diversos sistemas envolvidos.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>(vii) Os pagamentos das faturas estarão condicionados: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>(a) À aprovação dos Projetos nos órgãos oficiais (Prefeitura, Corpo de Bombeiros, Concessionárias, etc. quando for o caso);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>(b) À apresentação das Anotações de Responsabilidade Técnica (ART) de todos os Projetos, acompanhadas pelos seus respectivos comprovantes de quitação.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 xml:space="preserve">(viii) O </w:t>
            </w:r>
            <w:r>
              <w:rPr>
                <w:rFonts w:cs="Arial" w:ascii="Cambria" w:hAnsi="Cambria"/>
                <w:b/>
                <w:sz w:val="20"/>
                <w:szCs w:val="20"/>
                <w:u w:val="single"/>
              </w:rPr>
              <w:t>prazo</w:t>
            </w:r>
            <w:r>
              <w:rPr>
                <w:rFonts w:cs="Arial" w:ascii="Cambria" w:hAnsi="Cambria"/>
                <w:bCs/>
                <w:sz w:val="20"/>
                <w:szCs w:val="20"/>
              </w:rPr>
              <w:t xml:space="preserve"> para execução e entrega do objeto será de </w:t>
            </w:r>
            <w:r>
              <w:rPr>
                <w:rFonts w:cs="Arial" w:ascii="Cambria" w:hAnsi="Cambria"/>
                <w:b/>
                <w:sz w:val="20"/>
                <w:szCs w:val="20"/>
                <w:u w:val="single"/>
              </w:rPr>
              <w:t>45 (quarenta e cinco) dias corridos</w:t>
            </w:r>
            <w:r>
              <w:rPr>
                <w:rFonts w:cs="Arial" w:ascii="Cambria" w:hAnsi="Cambria"/>
                <w:bCs/>
                <w:sz w:val="20"/>
                <w:szCs w:val="20"/>
              </w:rPr>
              <w:t>, a partir da emissão da ordem de serviço.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>(ix) Para efeito de pagamento, será considerada a conclusão final e efetiva entrega dos serviços relativa ao valor global contratado.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  <w:t>(x) A entrega dos produtos indicados deverá ocorrer em formato físico e também digital, devendo ambas as versões serem entregues ao Fiscal do contrato a ser oportunamente designado.</w:t>
            </w:r>
          </w:p>
        </w:tc>
      </w:tr>
    </w:tbl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jc w:val="right"/>
        <w:rPr>
          <w:rFonts w:ascii="Cambria" w:hAnsi="Cambria" w:cs="Arial"/>
          <w:b/>
          <w:b/>
          <w:bCs/>
          <w:sz w:val="22"/>
          <w:szCs w:val="22"/>
        </w:rPr>
      </w:pPr>
      <w:r>
        <w:rPr>
          <w:rFonts w:cs="Arial" w:ascii="Cambria" w:hAnsi="Cambria"/>
          <w:b/>
          <w:bCs/>
          <w:sz w:val="22"/>
          <w:szCs w:val="22"/>
        </w:rPr>
        <w:t>DATA, CARIMBO E ASSINATURA</w:t>
      </w:r>
    </w:p>
    <w:p>
      <w:pPr>
        <w:pStyle w:val="Normal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51" w:header="284" w:top="1985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tabs>
        <w:tab w:val="clear" w:pos="8504"/>
        <w:tab w:val="center" w:pos="4252" w:leader="none"/>
        <w:tab w:val="right" w:pos="9072" w:leader="none"/>
      </w:tabs>
      <w:ind w:left="-993" w:right="-852" w:hanging="0"/>
      <w:jc w:val="center"/>
      <w:rPr>
        <w:rFonts w:ascii="Bookman Old Style" w:hAnsi="Bookman Old Style"/>
        <w:b/>
        <w:b/>
        <w:sz w:val="20"/>
        <w:szCs w:val="20"/>
      </w:rPr>
    </w:pPr>
    <w:r>
      <w:rPr>
        <w:rFonts w:ascii="Bookman Old Style" w:hAnsi="Bookman Old Style"/>
        <w:b/>
        <w:sz w:val="20"/>
        <w:szCs w:val="20"/>
      </w:rPr>
      <w:t>Rua Manoel Borba, 298, Praça Caetano Nigro – CEP 14820-003 – Américo Brasiliense – SP</w:t>
    </w:r>
  </w:p>
  <w:p>
    <w:pPr>
      <w:pStyle w:val="Rodap"/>
      <w:pBdr>
        <w:top w:val="single" w:sz="4" w:space="1" w:color="000000"/>
      </w:pBdr>
      <w:tabs>
        <w:tab w:val="clear" w:pos="8504"/>
        <w:tab w:val="center" w:pos="4252" w:leader="none"/>
        <w:tab w:val="right" w:pos="9072" w:leader="none"/>
      </w:tabs>
      <w:ind w:left="-993" w:right="-852" w:hanging="0"/>
      <w:jc w:val="center"/>
      <w:rPr/>
    </w:pPr>
    <w:hyperlink r:id="rId1">
      <w:r>
        <w:rPr>
          <w:rStyle w:val="LinkdaInternet"/>
          <w:rFonts w:ascii="Bookman Old Style" w:hAnsi="Bookman Old Style"/>
          <w:b/>
          <w:sz w:val="20"/>
          <w:szCs w:val="20"/>
        </w:rPr>
        <w:t>www.camaraamericobrasiliense.sp.gov.br</w:t>
      </w:r>
    </w:hyperlink>
    <w:r>
      <w:rPr>
        <w:rFonts w:ascii="Bookman Old Style" w:hAnsi="Bookman Old Style"/>
        <w:b/>
        <w:sz w:val="20"/>
        <w:szCs w:val="20"/>
      </w:rPr>
      <w:t xml:space="preserve"> – Fone/ fax:- (16) 3392-1134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828675" cy="8953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Bookman Old Style" w:hAnsi="Bookman Old Style"/>
        <w:b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>
    <w:pPr>
      <w:pStyle w:val="Cabealho"/>
      <w:rPr>
        <w:szCs w:val="30"/>
      </w:rPr>
    </w:pPr>
    <w:r>
      <w:rPr>
        <w:szCs w:val="30"/>
      </w:rPr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041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qFormat/>
    <w:rsid w:val="00e1041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link w:val="Rodap"/>
    <w:uiPriority w:val="99"/>
    <w:qFormat/>
    <w:rsid w:val="00e1041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LinkdaInternet" w:customStyle="1">
    <w:name w:val="Link da Internet"/>
    <w:uiPriority w:val="99"/>
    <w:unhideWhenUsed/>
    <w:rsid w:val="00e10416"/>
    <w:rPr>
      <w:color w:val="0000FF"/>
      <w:u w:val="single"/>
    </w:rPr>
  </w:style>
  <w:style w:type="character" w:styleId="TextodebaloChar" w:customStyle="1">
    <w:name w:val="Texto de balão Char"/>
    <w:link w:val="Textodebalo"/>
    <w:uiPriority w:val="99"/>
    <w:semiHidden/>
    <w:qFormat/>
    <w:rsid w:val="00e10416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1041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1041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e10416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1041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c5d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amaraamericobrasiliense.sp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LibreOffice/6.3.4.2$Windows_X86_64 LibreOffice_project/60da17e045e08f1793c57c00ba83cdfce946d0aa</Application>
  <Pages>2</Pages>
  <Words>697</Words>
  <Characters>4341</Characters>
  <CharactersWithSpaces>5005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2019-03-29T16:03:00Z</dcterms:created>
  <dc:creator>rodrigo</dc:creator>
  <dc:description/>
  <dc:language>pt-BR</dc:language>
  <cp:lastModifiedBy/>
  <cp:lastPrinted>2021-07-07T13:49:36Z</cp:lastPrinted>
  <dcterms:modified xsi:type="dcterms:W3CDTF">2021-07-14T11:27:16Z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